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7480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7480A" w:rsidRPr="0027480A">
        <w:rPr>
          <w:rFonts w:ascii="Arial" w:hAnsi="Arial" w:cs="Arial"/>
          <w:b/>
          <w:sz w:val="24"/>
          <w:szCs w:val="24"/>
        </w:rPr>
        <w:t>BBM 107/BBM107e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7480A" w:rsidRPr="0027480A">
        <w:rPr>
          <w:rFonts w:ascii="Arial" w:hAnsi="Arial" w:cs="Arial"/>
          <w:b/>
          <w:sz w:val="24"/>
          <w:szCs w:val="24"/>
        </w:rPr>
        <w:t>BUSINESS LAW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02AE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0F242D">
        <w:rPr>
          <w:rFonts w:ascii="Tahoma" w:hAnsi="Tahoma" w:cs="Tahoma"/>
          <w:b/>
          <w:sz w:val="28"/>
          <w:szCs w:val="28"/>
        </w:rPr>
        <w:t>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C7CA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502AE1">
        <w:rPr>
          <w:rFonts w:ascii="Times New Roman" w:hAnsi="Times New Roman"/>
          <w:b/>
          <w:sz w:val="24"/>
          <w:szCs w:val="24"/>
        </w:rPr>
        <w:t>SIX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502AE1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502AE1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502AE1">
        <w:rPr>
          <w:rFonts w:ascii="Times New Roman" w:hAnsi="Times New Roman"/>
          <w:b/>
          <w:sz w:val="24"/>
          <w:szCs w:val="24"/>
        </w:rPr>
        <w:t>3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02AE1"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502AE1">
        <w:rPr>
          <w:rFonts w:ascii="Times New Roman" w:hAnsi="Times New Roman"/>
          <w:b/>
          <w:sz w:val="24"/>
          <w:szCs w:val="24"/>
        </w:rPr>
        <w:t>(5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63A52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D63A52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502AE1" w:rsidRDefault="00E16478" w:rsidP="00502AE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02AE1">
        <w:rPr>
          <w:rFonts w:ascii="Times New Roman" w:hAnsi="Times New Roman"/>
          <w:b/>
          <w:sz w:val="24"/>
          <w:szCs w:val="24"/>
        </w:rPr>
        <w:t>QUESTION ONE (COMPULSORY)</w:t>
      </w:r>
    </w:p>
    <w:p w:rsidR="00502AE1" w:rsidRPr="00502AE1" w:rsidRDefault="00502AE1" w:rsidP="00502AE1">
      <w:pPr>
        <w:spacing w:before="120" w:after="120" w:line="240" w:lineRule="auto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a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>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Under what law can the Government of Kenya be sued in tort as if it were a private individual?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ind w:left="720" w:hanging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(b).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Advice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Onyango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whether or not action can be brought in tort against the Government on the following grievances which he has:</w:t>
      </w:r>
    </w:p>
    <w:p w:rsidR="00502AE1" w:rsidRPr="00502AE1" w:rsidRDefault="00502AE1" w:rsidP="00502AE1">
      <w:pPr>
        <w:spacing w:before="120" w:after="12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that a magistrate in  a certain court made remarks that were defamatory to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Onyango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when passing sentence on three accused persons while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Onyango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had nothing to do with the case;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Mark]</w:t>
      </w:r>
    </w:p>
    <w:p w:rsidR="00502AE1" w:rsidRPr="00502AE1" w:rsidRDefault="00502AE1" w:rsidP="00502AE1">
      <w:pPr>
        <w:spacing w:before="120" w:after="12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that officers of the Government trespassed on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Onyango’s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land without lawful excuse ten years ago;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Mark]</w:t>
      </w:r>
    </w:p>
    <w:p w:rsidR="00502AE1" w:rsidRPr="00502AE1" w:rsidRDefault="00502AE1" w:rsidP="00502AE1">
      <w:pPr>
        <w:spacing w:before="120" w:after="12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(iii).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That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X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, an independent contractor while constructing a road for the Government, caused nuisance on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Onyango’s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homestead by keeping stones thereon.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 xml:space="preserve"> (c).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How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 xml:space="preserve"> may one make a valid:-</w:t>
      </w:r>
    </w:p>
    <w:p w:rsidR="00502AE1" w:rsidRPr="00502AE1" w:rsidRDefault="00502AE1" w:rsidP="00502AE1">
      <w:pPr>
        <w:spacing w:before="120" w:after="12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oral will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  <w:t xml:space="preserve">     </w:t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[3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Written will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[3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(d).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(i).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What is ‘intestacy’ under the Law of Succession Act Cap 160?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Mark]</w:t>
      </w:r>
    </w:p>
    <w:p w:rsidR="00502AE1" w:rsidRPr="00502AE1" w:rsidRDefault="00502AE1" w:rsidP="00502AE1">
      <w:pPr>
        <w:spacing w:before="120" w:after="12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(ii).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502AE1">
        <w:rPr>
          <w:rFonts w:ascii="Times New Roman" w:eastAsiaTheme="minorHAnsi" w:hAnsi="Times New Roman"/>
          <w:b/>
          <w:sz w:val="24"/>
          <w:szCs w:val="24"/>
        </w:rPr>
        <w:t>Mikwi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married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502AE1">
        <w:rPr>
          <w:rFonts w:ascii="Times New Roman" w:eastAsiaTheme="minorHAnsi" w:hAnsi="Times New Roman"/>
          <w:b/>
          <w:sz w:val="24"/>
          <w:szCs w:val="24"/>
        </w:rPr>
        <w:t>Kanini</w:t>
      </w:r>
      <w:proofErr w:type="spellEnd"/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in 1970.Both had lived happily with their son John until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Mikwi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died in a tragic road accident in November 1991.Unfortunately,Mikwi had not made a will in respect of all his free property.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Kanini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does not know her rights over the property left by her husband. She comes to you for advice. Advise her. Would your advice be different if they had no child?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[4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 xml:space="preserve"> (e).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>List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and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Explain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the elements of a valid contract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[14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QUESTION TWO 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a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>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Discuss the general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defences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that are available to a defendant in an action in tort. </w:t>
      </w: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[14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(b).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(i).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What is the meaning of “goods” in the Sale of Goods Act (Cap.31)?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Mark]</w:t>
      </w:r>
    </w:p>
    <w:p w:rsidR="00502AE1" w:rsidRPr="00502AE1" w:rsidRDefault="00502AE1" w:rsidP="00502AE1">
      <w:pPr>
        <w:spacing w:before="120" w:after="120" w:line="240" w:lineRule="auto"/>
        <w:ind w:left="1440" w:hanging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what are the consequences if a seller delivers to the buyer goods of wrong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(1)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quantity and 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(2) </w:t>
      </w:r>
      <w:r w:rsidRPr="00502AE1">
        <w:rPr>
          <w:rFonts w:ascii="Times New Roman" w:eastAsiaTheme="minorHAnsi" w:hAnsi="Times New Roman"/>
          <w:sz w:val="24"/>
          <w:szCs w:val="24"/>
        </w:rPr>
        <w:t>description?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[3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ind w:left="1440" w:hanging="720"/>
        <w:jc w:val="both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(iii).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>B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bought from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P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, the owner of a certain land, the bark of wattle trees growing on the land together with the right to remove it.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P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sold the land to 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T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who had knowledge of the sale of wattle bark.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T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resold the land to X without any reference to prior sale of the bark. 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X </w:t>
      </w:r>
      <w:r w:rsidRPr="00502AE1">
        <w:rPr>
          <w:rFonts w:ascii="Times New Roman" w:eastAsiaTheme="minorHAnsi" w:hAnsi="Times New Roman"/>
          <w:sz w:val="24"/>
          <w:szCs w:val="24"/>
        </w:rPr>
        <w:t>prevented B from removing the bark.</w:t>
      </w:r>
    </w:p>
    <w:p w:rsidR="00502AE1" w:rsidRPr="00502AE1" w:rsidRDefault="00502AE1" w:rsidP="00502AE1">
      <w:pPr>
        <w:spacing w:before="120" w:after="120" w:line="240" w:lineRule="auto"/>
        <w:ind w:left="1440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b/>
          <w:sz w:val="24"/>
          <w:szCs w:val="24"/>
        </w:rPr>
        <w:t>Advice B</w:t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QUESTION THREE </w:t>
      </w:r>
    </w:p>
    <w:p w:rsidR="00502AE1" w:rsidRPr="00502AE1" w:rsidRDefault="00502AE1" w:rsidP="00502AE1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 xml:space="preserve">On what grounds may a marriage be declared null and void by the High Court under the Matrimonial Causes 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Act(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>Cap.152)?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[16 Marks]</w:t>
      </w:r>
    </w:p>
    <w:p w:rsidR="00502AE1" w:rsidRPr="00502AE1" w:rsidRDefault="00502AE1" w:rsidP="00502AE1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What are the differences between a registered company and a partnership?</w:t>
      </w:r>
      <w:r w:rsidRPr="00502AE1">
        <w:rPr>
          <w:rFonts w:ascii="Times New Roman" w:eastAsiaTheme="minorHAnsi" w:hAnsi="Times New Roman"/>
          <w:b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b/>
          <w:sz w:val="24"/>
          <w:szCs w:val="24"/>
        </w:rPr>
        <w:lastRenderedPageBreak/>
        <w:t>QUESTION FOUR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(a).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</w:p>
    <w:p w:rsidR="00502AE1" w:rsidRPr="00502AE1" w:rsidRDefault="00502AE1" w:rsidP="00502AE1">
      <w:pPr>
        <w:spacing w:before="120" w:after="120" w:line="240" w:lineRule="auto"/>
        <w:ind w:firstLine="720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Distinguish between </w:t>
      </w:r>
      <w:r w:rsidRPr="00502AE1">
        <w:rPr>
          <w:rFonts w:ascii="Times New Roman" w:eastAsiaTheme="minorHAnsi" w:hAnsi="Times New Roman"/>
          <w:b/>
          <w:sz w:val="24"/>
          <w:szCs w:val="24"/>
          <w:u w:val="single"/>
        </w:rPr>
        <w:t>executed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proofErr w:type="spellStart"/>
      <w:r w:rsidRPr="00502AE1">
        <w:rPr>
          <w:rFonts w:ascii="Times New Roman" w:eastAsiaTheme="minorHAnsi" w:hAnsi="Times New Roman"/>
          <w:b/>
          <w:sz w:val="24"/>
          <w:szCs w:val="24"/>
          <w:u w:val="single"/>
        </w:rPr>
        <w:t>executory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and </w:t>
      </w:r>
      <w:r w:rsidRPr="00502AE1">
        <w:rPr>
          <w:rFonts w:ascii="Times New Roman" w:eastAsiaTheme="minorHAnsi" w:hAnsi="Times New Roman"/>
          <w:b/>
          <w:sz w:val="24"/>
          <w:szCs w:val="24"/>
          <w:u w:val="single"/>
        </w:rPr>
        <w:t>past consideration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[6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ind w:left="1440" w:hanging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(ii).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502AE1">
        <w:rPr>
          <w:rFonts w:ascii="Times New Roman" w:eastAsiaTheme="minorHAnsi" w:hAnsi="Times New Roman"/>
          <w:b/>
          <w:sz w:val="24"/>
          <w:szCs w:val="24"/>
        </w:rPr>
        <w:t>Kamau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has lent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Osman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Sh.5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,000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 xml:space="preserve"> which is due for repayment on 1</w:t>
      </w:r>
      <w:r w:rsidRPr="00502AE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April.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Kamau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asks Osman on 1</w:t>
      </w:r>
      <w:r w:rsidRPr="00502AE1">
        <w:rPr>
          <w:rFonts w:ascii="Times New Roman" w:eastAsiaTheme="minorHAnsi" w:hAnsi="Times New Roman"/>
          <w:sz w:val="24"/>
          <w:szCs w:val="24"/>
          <w:vertAlign w:val="superscript"/>
        </w:rPr>
        <w:t>st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March for immediate repayment because he wants to pay a deposit for a piece of land he is buying in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Kariobangi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. Osman replies that he has no money. Whereupon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Kamau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promises that if Osman can give him Sh.4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,000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 xml:space="preserve">  immediately, he would accept the amount in full settlement of the debt. Osman then pays Shs.4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,000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 xml:space="preserve">. Would </w:t>
      </w:r>
      <w:proofErr w:type="spellStart"/>
      <w:r w:rsidRPr="00502AE1">
        <w:rPr>
          <w:rFonts w:ascii="Times New Roman" w:eastAsiaTheme="minorHAnsi" w:hAnsi="Times New Roman"/>
          <w:sz w:val="24"/>
          <w:szCs w:val="24"/>
        </w:rPr>
        <w:t>Kamau</w:t>
      </w:r>
      <w:proofErr w:type="spellEnd"/>
      <w:r w:rsidRPr="00502AE1">
        <w:rPr>
          <w:rFonts w:ascii="Times New Roman" w:eastAsiaTheme="minorHAnsi" w:hAnsi="Times New Roman"/>
          <w:sz w:val="24"/>
          <w:szCs w:val="24"/>
        </w:rPr>
        <w:t xml:space="preserve"> be able to s</w:t>
      </w:r>
      <w:r>
        <w:rPr>
          <w:rFonts w:ascii="Times New Roman" w:eastAsiaTheme="minorHAnsi" w:hAnsi="Times New Roman"/>
          <w:sz w:val="24"/>
          <w:szCs w:val="24"/>
        </w:rPr>
        <w:t>ue for the balance of Shs.1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,000</w:t>
      </w:r>
      <w:proofErr w:type="gramEnd"/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tabs>
          <w:tab w:val="left" w:pos="2542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 xml:space="preserve">(b).     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In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 xml:space="preserve"> the law of insurance, what is meant by:-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</w:p>
    <w:p w:rsidR="00502AE1" w:rsidRPr="00502AE1" w:rsidRDefault="00502AE1" w:rsidP="00502AE1">
      <w:pPr>
        <w:tabs>
          <w:tab w:val="left" w:pos="1014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ab/>
        <w:t>(i).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Subrogation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tabs>
          <w:tab w:val="left" w:pos="1014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ab/>
        <w:t>(ii).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Double Insurance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tabs>
          <w:tab w:val="left" w:pos="1014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ab/>
        <w:t>(iii).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Indemnity, and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tabs>
          <w:tab w:val="left" w:pos="1014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(iv)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>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Average clause?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(c).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</w:p>
    <w:p w:rsidR="00502AE1" w:rsidRPr="00502AE1" w:rsidRDefault="00502AE1" w:rsidP="00502AE1">
      <w:pPr>
        <w:spacing w:before="120" w:after="120" w:line="240" w:lineRule="auto"/>
        <w:ind w:left="1440" w:hanging="720"/>
        <w:jc w:val="both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(i).</w:t>
      </w:r>
      <w:r w:rsidRPr="00502AE1">
        <w:rPr>
          <w:rFonts w:ascii="Times New Roman" w:eastAsiaTheme="minorHAnsi" w:hAnsi="Times New Roman"/>
          <w:sz w:val="24"/>
          <w:szCs w:val="24"/>
        </w:rPr>
        <w:tab/>
        <w:t>Explain the effect of a provision in an Act of Parliament (1) on an earlier judicial decision with which it is inconsistent:</w:t>
      </w:r>
    </w:p>
    <w:p w:rsidR="00502AE1" w:rsidRPr="00502AE1" w:rsidRDefault="00502AE1" w:rsidP="00502AE1">
      <w:pPr>
        <w:spacing w:before="120" w:after="120" w:line="240" w:lineRule="auto"/>
        <w:ind w:left="1440"/>
        <w:jc w:val="both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 xml:space="preserve">(2) </w:t>
      </w:r>
      <w:proofErr w:type="gramStart"/>
      <w:r w:rsidRPr="00502AE1">
        <w:rPr>
          <w:rFonts w:ascii="Times New Roman" w:eastAsiaTheme="minorHAnsi" w:hAnsi="Times New Roman"/>
          <w:sz w:val="24"/>
          <w:szCs w:val="24"/>
        </w:rPr>
        <w:t>on</w:t>
      </w:r>
      <w:proofErr w:type="gramEnd"/>
      <w:r w:rsidRPr="00502AE1">
        <w:rPr>
          <w:rFonts w:ascii="Times New Roman" w:eastAsiaTheme="minorHAnsi" w:hAnsi="Times New Roman"/>
          <w:sz w:val="24"/>
          <w:szCs w:val="24"/>
        </w:rPr>
        <w:t xml:space="preserve"> a provision in the constitution of Kenya Act 1969 with which it is inconsistent.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tabs>
          <w:tab w:val="left" w:pos="2279"/>
        </w:tabs>
        <w:spacing w:before="120" w:after="120" w:line="240" w:lineRule="auto"/>
        <w:ind w:left="2880" w:hanging="2880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 xml:space="preserve">            (ii).      what is meant by the doctrine of ultra vires in relation to delegated legislation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tabs>
          <w:tab w:val="left" w:pos="2279"/>
        </w:tabs>
        <w:spacing w:before="120"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ab/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</w:p>
    <w:p w:rsidR="00502AE1" w:rsidRPr="00502AE1" w:rsidRDefault="00502AE1" w:rsidP="00502AE1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What is meant by the term “sources of law”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 w:rsidRPr="00502AE1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Briefly outline the stages through which an Act of Parliament must pass before it becomes law. Is it correct to state that a law so passed expresses the wish of the people?</w:t>
      </w:r>
      <w:r w:rsidRPr="00502AE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502AE1">
        <w:rPr>
          <w:rFonts w:ascii="Times New Roman" w:eastAsiaTheme="minorHAnsi" w:hAnsi="Times New Roman"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[12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</w:t>
      </w:r>
      <w:r>
        <w:rPr>
          <w:rFonts w:ascii="Times New Roman" w:eastAsiaTheme="minorHAnsi" w:hAnsi="Times New Roman"/>
          <w:b/>
          <w:sz w:val="24"/>
          <w:szCs w:val="24"/>
        </w:rPr>
        <w:t>]</w:t>
      </w:r>
    </w:p>
    <w:p w:rsidR="00502AE1" w:rsidRPr="00502AE1" w:rsidRDefault="00502AE1" w:rsidP="00502AE1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502AE1">
        <w:rPr>
          <w:rFonts w:ascii="Times New Roman" w:eastAsiaTheme="minorHAnsi" w:hAnsi="Times New Roman"/>
          <w:sz w:val="24"/>
          <w:szCs w:val="24"/>
        </w:rPr>
        <w:t>Discuss the extent to which customary law is a source of law in Kenya</w:t>
      </w:r>
      <w:r w:rsidRPr="00502AE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   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[6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02AE1">
        <w:rPr>
          <w:rFonts w:ascii="Times New Roman" w:eastAsiaTheme="minorHAnsi" w:hAnsi="Times New Roman"/>
          <w:b/>
          <w:sz w:val="24"/>
          <w:szCs w:val="24"/>
        </w:rPr>
        <w:t>Marks]</w:t>
      </w:r>
    </w:p>
    <w:p w:rsidR="00502AE1" w:rsidRPr="00502AE1" w:rsidRDefault="00502AE1" w:rsidP="00502AE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502AE1" w:rsidRPr="00502AE1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A8" w:rsidRDefault="00BC7CA8">
      <w:pPr>
        <w:spacing w:after="0" w:line="240" w:lineRule="auto"/>
      </w:pPr>
      <w:r>
        <w:separator/>
      </w:r>
    </w:p>
  </w:endnote>
  <w:endnote w:type="continuationSeparator" w:id="0">
    <w:p w:rsidR="00BC7CA8" w:rsidRDefault="00B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C7CA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63A52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BC7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A8" w:rsidRDefault="00BC7CA8">
      <w:pPr>
        <w:spacing w:after="0" w:line="240" w:lineRule="auto"/>
      </w:pPr>
      <w:r>
        <w:separator/>
      </w:r>
    </w:p>
  </w:footnote>
  <w:footnote w:type="continuationSeparator" w:id="0">
    <w:p w:rsidR="00BC7CA8" w:rsidRDefault="00BC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C7C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C7C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D97"/>
    <w:multiLevelType w:val="hybridMultilevel"/>
    <w:tmpl w:val="98AEE54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71FE5"/>
    <w:multiLevelType w:val="hybridMultilevel"/>
    <w:tmpl w:val="85E402E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7480A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02AE1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38FE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C7CA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3A52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38CF-EDE8-498E-B556-8E945BFD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2020-12-17T08:48:00Z</dcterms:modified>
</cp:coreProperties>
</file>